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90" w:rsidRDefault="00827690">
      <w:pPr>
        <w:spacing w:line="240" w:lineRule="exact"/>
        <w:rPr>
          <w:sz w:val="24"/>
          <w:szCs w:val="24"/>
        </w:rPr>
      </w:pPr>
      <w:bookmarkStart w:id="0" w:name="_page_3_0"/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line="240" w:lineRule="exact"/>
        <w:rPr>
          <w:sz w:val="24"/>
          <w:szCs w:val="24"/>
        </w:rPr>
      </w:pPr>
    </w:p>
    <w:p w:rsidR="00827690" w:rsidRDefault="00827690">
      <w:pPr>
        <w:spacing w:after="15" w:line="200" w:lineRule="exact"/>
        <w:rPr>
          <w:sz w:val="20"/>
          <w:szCs w:val="20"/>
        </w:rPr>
      </w:pPr>
    </w:p>
    <w:bookmarkStart w:id="1" w:name="_GoBack"/>
    <w:p w:rsidR="00827690" w:rsidRDefault="00411F96">
      <w:pPr>
        <w:widowControl w:val="0"/>
        <w:spacing w:line="240" w:lineRule="auto"/>
        <w:ind w:left="751" w:right="-20"/>
        <w:rPr>
          <w:rFonts w:ascii="Arial" w:eastAsia="Arial" w:hAnsi="Arial" w:cs="Arial"/>
          <w:b/>
          <w:bCs/>
          <w:color w:val="336699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7" behindDoc="1" locked="0" layoutInCell="0" allowOverlap="1">
                <wp:simplePos x="0" y="0"/>
                <wp:positionH relativeFrom="page">
                  <wp:posOffset>393191</wp:posOffset>
                </wp:positionH>
                <wp:positionV relativeFrom="paragraph">
                  <wp:posOffset>-4368292</wp:posOffset>
                </wp:positionV>
                <wp:extent cx="6858000" cy="899769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8997696"/>
                          <a:chOff x="0" y="0"/>
                          <a:chExt cx="6858000" cy="899769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304800" cy="884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8848344">
                                <a:moveTo>
                                  <a:pt x="0" y="0"/>
                                </a:moveTo>
                                <a:lnTo>
                                  <a:pt x="0" y="8848344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A6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8695944"/>
                            <a:ext cx="662940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6629400" y="301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14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580631" y="91440"/>
                            <a:ext cx="277368" cy="890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8906256">
                                <a:moveTo>
                                  <a:pt x="277368" y="0"/>
                                </a:moveTo>
                                <a:lnTo>
                                  <a:pt x="0" y="8906256"/>
                                </a:lnTo>
                                <a:lnTo>
                                  <a:pt x="277368" y="8906256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A6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800" y="0"/>
                            <a:ext cx="655320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298704">
                                <a:moveTo>
                                  <a:pt x="0" y="0"/>
                                </a:moveTo>
                                <a:lnTo>
                                  <a:pt x="6553200" y="298704"/>
                                </a:lnTo>
                                <a:lnTo>
                                  <a:pt x="655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14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124199" y="1127759"/>
                            <a:ext cx="3596640" cy="2566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7367" y="164593"/>
                            <a:ext cx="2694432" cy="1859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color w:val="336699"/>
          <w:sz w:val="48"/>
          <w:szCs w:val="48"/>
        </w:rPr>
        <w:t>К</w:t>
      </w:r>
      <w:r>
        <w:rPr>
          <w:rFonts w:ascii="Arial" w:eastAsia="Arial" w:hAnsi="Arial" w:cs="Arial"/>
          <w:b/>
          <w:bCs/>
          <w:color w:val="3366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36699"/>
          <w:sz w:val="48"/>
          <w:szCs w:val="48"/>
        </w:rPr>
        <w:t>В</w:t>
      </w:r>
      <w:r>
        <w:rPr>
          <w:rFonts w:ascii="Arial" w:eastAsia="Arial" w:hAnsi="Arial" w:cs="Arial"/>
          <w:b/>
          <w:bCs/>
          <w:color w:val="336699"/>
          <w:spacing w:val="1"/>
          <w:sz w:val="48"/>
          <w:szCs w:val="48"/>
        </w:rPr>
        <w:t>с</w:t>
      </w:r>
      <w:r>
        <w:rPr>
          <w:rFonts w:ascii="Arial" w:eastAsia="Arial" w:hAnsi="Arial" w:cs="Arial"/>
          <w:b/>
          <w:bCs/>
          <w:color w:val="336699"/>
          <w:spacing w:val="-1"/>
          <w:sz w:val="48"/>
          <w:szCs w:val="48"/>
        </w:rPr>
        <w:t>е</w:t>
      </w:r>
      <w:r>
        <w:rPr>
          <w:rFonts w:ascii="Arial" w:eastAsia="Arial" w:hAnsi="Arial" w:cs="Arial"/>
          <w:b/>
          <w:bCs/>
          <w:color w:val="336699"/>
          <w:spacing w:val="-5"/>
          <w:sz w:val="48"/>
          <w:szCs w:val="48"/>
        </w:rPr>
        <w:t>м</w:t>
      </w:r>
      <w:r>
        <w:rPr>
          <w:rFonts w:ascii="Arial" w:eastAsia="Arial" w:hAnsi="Arial" w:cs="Arial"/>
          <w:b/>
          <w:bCs/>
          <w:color w:val="336699"/>
          <w:spacing w:val="-1"/>
          <w:sz w:val="48"/>
          <w:szCs w:val="48"/>
        </w:rPr>
        <w:t>и</w:t>
      </w:r>
      <w:r>
        <w:rPr>
          <w:rFonts w:ascii="Arial" w:eastAsia="Arial" w:hAnsi="Arial" w:cs="Arial"/>
          <w:b/>
          <w:bCs/>
          <w:color w:val="336699"/>
          <w:sz w:val="48"/>
          <w:szCs w:val="48"/>
        </w:rPr>
        <w:t>р</w:t>
      </w:r>
      <w:r>
        <w:rPr>
          <w:rFonts w:ascii="Arial" w:eastAsia="Arial" w:hAnsi="Arial" w:cs="Arial"/>
          <w:b/>
          <w:bCs/>
          <w:color w:val="336699"/>
          <w:spacing w:val="-1"/>
          <w:sz w:val="48"/>
          <w:szCs w:val="48"/>
        </w:rPr>
        <w:t>н</w:t>
      </w:r>
      <w:r>
        <w:rPr>
          <w:rFonts w:ascii="Arial" w:eastAsia="Arial" w:hAnsi="Arial" w:cs="Arial"/>
          <w:b/>
          <w:bCs/>
          <w:color w:val="336699"/>
          <w:spacing w:val="-5"/>
          <w:sz w:val="48"/>
          <w:szCs w:val="48"/>
        </w:rPr>
        <w:t>о</w:t>
      </w:r>
      <w:r>
        <w:rPr>
          <w:rFonts w:ascii="Arial" w:eastAsia="Arial" w:hAnsi="Arial" w:cs="Arial"/>
          <w:b/>
          <w:bCs/>
          <w:color w:val="336699"/>
          <w:sz w:val="48"/>
          <w:szCs w:val="48"/>
        </w:rPr>
        <w:t>му</w:t>
      </w:r>
      <w:r>
        <w:rPr>
          <w:rFonts w:ascii="Arial" w:eastAsia="Arial" w:hAnsi="Arial" w:cs="Arial"/>
          <w:b/>
          <w:bCs/>
          <w:color w:val="336699"/>
          <w:spacing w:val="-5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36699"/>
          <w:spacing w:val="-1"/>
          <w:sz w:val="48"/>
          <w:szCs w:val="48"/>
        </w:rPr>
        <w:t>д</w:t>
      </w:r>
      <w:r>
        <w:rPr>
          <w:rFonts w:ascii="Arial" w:eastAsia="Arial" w:hAnsi="Arial" w:cs="Arial"/>
          <w:b/>
          <w:bCs/>
          <w:color w:val="336699"/>
          <w:spacing w:val="2"/>
          <w:sz w:val="48"/>
          <w:szCs w:val="48"/>
        </w:rPr>
        <w:t>н</w:t>
      </w:r>
      <w:r>
        <w:rPr>
          <w:rFonts w:ascii="Arial" w:eastAsia="Arial" w:hAnsi="Arial" w:cs="Arial"/>
          <w:b/>
          <w:bCs/>
          <w:color w:val="336699"/>
          <w:sz w:val="48"/>
          <w:szCs w:val="48"/>
        </w:rPr>
        <w:t>ю</w:t>
      </w:r>
      <w:r>
        <w:rPr>
          <w:rFonts w:ascii="Arial" w:eastAsia="Arial" w:hAnsi="Arial" w:cs="Arial"/>
          <w:b/>
          <w:bCs/>
          <w:color w:val="336699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36699"/>
          <w:spacing w:val="-5"/>
          <w:sz w:val="48"/>
          <w:szCs w:val="48"/>
        </w:rPr>
        <w:t>в</w:t>
      </w:r>
      <w:r>
        <w:rPr>
          <w:rFonts w:ascii="Arial" w:eastAsia="Arial" w:hAnsi="Arial" w:cs="Arial"/>
          <w:b/>
          <w:bCs/>
          <w:color w:val="336699"/>
          <w:spacing w:val="-9"/>
          <w:sz w:val="48"/>
          <w:szCs w:val="48"/>
        </w:rPr>
        <w:t>о</w:t>
      </w:r>
      <w:r>
        <w:rPr>
          <w:rFonts w:ascii="Arial" w:eastAsia="Arial" w:hAnsi="Arial" w:cs="Arial"/>
          <w:b/>
          <w:bCs/>
          <w:color w:val="336699"/>
          <w:spacing w:val="-7"/>
          <w:sz w:val="48"/>
          <w:szCs w:val="48"/>
        </w:rPr>
        <w:t>л</w:t>
      </w:r>
      <w:r>
        <w:rPr>
          <w:rFonts w:ascii="Arial" w:eastAsia="Arial" w:hAnsi="Arial" w:cs="Arial"/>
          <w:b/>
          <w:bCs/>
          <w:color w:val="336699"/>
          <w:spacing w:val="-5"/>
          <w:sz w:val="48"/>
          <w:szCs w:val="48"/>
        </w:rPr>
        <w:t>ч</w:t>
      </w:r>
      <w:r>
        <w:rPr>
          <w:rFonts w:ascii="Arial" w:eastAsia="Arial" w:hAnsi="Arial" w:cs="Arial"/>
          <w:b/>
          <w:bCs/>
          <w:color w:val="336699"/>
          <w:spacing w:val="2"/>
          <w:sz w:val="48"/>
          <w:szCs w:val="48"/>
        </w:rPr>
        <w:t>а</w:t>
      </w:r>
      <w:r>
        <w:rPr>
          <w:rFonts w:ascii="Arial" w:eastAsia="Arial" w:hAnsi="Arial" w:cs="Arial"/>
          <w:b/>
          <w:bCs/>
          <w:color w:val="336699"/>
          <w:spacing w:val="-1"/>
          <w:sz w:val="48"/>
          <w:szCs w:val="48"/>
        </w:rPr>
        <w:t>н</w:t>
      </w:r>
      <w:r>
        <w:rPr>
          <w:rFonts w:ascii="Arial" w:eastAsia="Arial" w:hAnsi="Arial" w:cs="Arial"/>
          <w:b/>
          <w:bCs/>
          <w:color w:val="336699"/>
          <w:sz w:val="48"/>
          <w:szCs w:val="48"/>
        </w:rPr>
        <w:t>ки</w:t>
      </w:r>
    </w:p>
    <w:bookmarkEnd w:id="1"/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827690" w:rsidRPr="00497F09" w:rsidRDefault="00411F96">
      <w:pPr>
        <w:widowControl w:val="0"/>
        <w:spacing w:line="240" w:lineRule="auto"/>
        <w:ind w:left="670" w:right="-20"/>
        <w:rPr>
          <w:rFonts w:ascii="Arbat" w:eastAsia="Arial" w:hAnsi="Arbat" w:cs="Arial"/>
          <w:b/>
          <w:bCs/>
          <w:color w:val="000000"/>
          <w:sz w:val="40"/>
          <w:szCs w:val="40"/>
        </w:rPr>
      </w:pPr>
      <w:r w:rsidRPr="00497F09">
        <w:rPr>
          <w:rFonts w:ascii="Arbat" w:eastAsia="Arial" w:hAnsi="Arbat" w:cs="Arial"/>
          <w:b/>
          <w:bCs/>
          <w:color w:val="336699"/>
          <w:sz w:val="40"/>
          <w:szCs w:val="40"/>
        </w:rPr>
        <w:t xml:space="preserve">( </w:t>
      </w:r>
      <w:r w:rsidRPr="00497F09">
        <w:rPr>
          <w:rFonts w:ascii="Arbat" w:eastAsia="Arial" w:hAnsi="Arbat" w:cs="Arial"/>
          <w:b/>
          <w:bCs/>
          <w:color w:val="336699"/>
          <w:spacing w:val="-1"/>
          <w:sz w:val="40"/>
          <w:szCs w:val="40"/>
        </w:rPr>
        <w:t>т</w:t>
      </w:r>
      <w:r w:rsidRPr="00497F09">
        <w:rPr>
          <w:rFonts w:ascii="Arbat" w:eastAsia="Arial" w:hAnsi="Arbat" w:cs="Arial"/>
          <w:b/>
          <w:bCs/>
          <w:color w:val="336699"/>
          <w:spacing w:val="-6"/>
          <w:sz w:val="40"/>
          <w:szCs w:val="40"/>
        </w:rPr>
        <w:t>е</w:t>
      </w:r>
      <w:r w:rsidRPr="00497F09">
        <w:rPr>
          <w:rFonts w:ascii="Arbat" w:eastAsia="Arial" w:hAnsi="Arbat" w:cs="Arial"/>
          <w:b/>
          <w:bCs/>
          <w:color w:val="336699"/>
          <w:spacing w:val="-1"/>
          <w:sz w:val="40"/>
          <w:szCs w:val="40"/>
        </w:rPr>
        <w:t>м</w:t>
      </w:r>
      <w:r w:rsidRPr="00497F09">
        <w:rPr>
          <w:rFonts w:ascii="Arbat" w:eastAsia="Arial" w:hAnsi="Arbat" w:cs="Arial"/>
          <w:b/>
          <w:bCs/>
          <w:color w:val="336699"/>
          <w:spacing w:val="1"/>
          <w:sz w:val="40"/>
          <w:szCs w:val="40"/>
        </w:rPr>
        <w:t>а</w:t>
      </w:r>
      <w:r w:rsidRPr="00497F09">
        <w:rPr>
          <w:rFonts w:ascii="Arbat" w:eastAsia="Arial" w:hAnsi="Arbat" w:cs="Arial"/>
          <w:b/>
          <w:bCs/>
          <w:color w:val="336699"/>
          <w:spacing w:val="-2"/>
          <w:sz w:val="40"/>
          <w:szCs w:val="40"/>
        </w:rPr>
        <w:t>т</w:t>
      </w:r>
      <w:r w:rsidRPr="00497F09">
        <w:rPr>
          <w:rFonts w:ascii="Arbat" w:eastAsia="Arial" w:hAnsi="Arbat" w:cs="Arial"/>
          <w:b/>
          <w:bCs/>
          <w:color w:val="336699"/>
          <w:spacing w:val="-1"/>
          <w:sz w:val="40"/>
          <w:szCs w:val="40"/>
        </w:rPr>
        <w:t>и</w:t>
      </w:r>
      <w:r w:rsidRPr="00497F09">
        <w:rPr>
          <w:rFonts w:ascii="Arbat" w:eastAsia="Arial" w:hAnsi="Arbat" w:cs="Arial"/>
          <w:b/>
          <w:bCs/>
          <w:color w:val="336699"/>
          <w:spacing w:val="-2"/>
          <w:sz w:val="40"/>
          <w:szCs w:val="40"/>
        </w:rPr>
        <w:t>че</w:t>
      </w:r>
      <w:r w:rsidRPr="00497F09">
        <w:rPr>
          <w:rFonts w:ascii="Arbat" w:eastAsia="Arial" w:hAnsi="Arbat" w:cs="Arial"/>
          <w:b/>
          <w:bCs/>
          <w:color w:val="336699"/>
          <w:sz w:val="40"/>
          <w:szCs w:val="40"/>
        </w:rPr>
        <w:t xml:space="preserve">ский </w:t>
      </w:r>
      <w:r w:rsidRPr="00497F09">
        <w:rPr>
          <w:rFonts w:ascii="Arbat" w:eastAsia="Arial" w:hAnsi="Arbat" w:cs="Arial"/>
          <w:b/>
          <w:bCs/>
          <w:color w:val="336699"/>
          <w:spacing w:val="2"/>
          <w:sz w:val="40"/>
          <w:szCs w:val="40"/>
        </w:rPr>
        <w:t>с</w:t>
      </w:r>
      <w:r w:rsidRPr="00497F09">
        <w:rPr>
          <w:rFonts w:ascii="Arbat" w:eastAsia="Arial" w:hAnsi="Arbat" w:cs="Arial"/>
          <w:b/>
          <w:bCs/>
          <w:color w:val="336699"/>
          <w:sz w:val="40"/>
          <w:szCs w:val="40"/>
        </w:rPr>
        <w:t>писок</w:t>
      </w:r>
      <w:r w:rsidRPr="00497F09">
        <w:rPr>
          <w:rFonts w:ascii="Arbat" w:eastAsia="Arial" w:hAnsi="Arbat" w:cs="Arial"/>
          <w:b/>
          <w:bCs/>
          <w:color w:val="336699"/>
          <w:spacing w:val="2"/>
          <w:sz w:val="40"/>
          <w:szCs w:val="40"/>
        </w:rPr>
        <w:t xml:space="preserve"> </w:t>
      </w:r>
      <w:r w:rsidRPr="00497F09">
        <w:rPr>
          <w:rFonts w:ascii="Arbat" w:eastAsia="Arial" w:hAnsi="Arbat" w:cs="Arial"/>
          <w:b/>
          <w:bCs/>
          <w:color w:val="336699"/>
          <w:spacing w:val="5"/>
          <w:sz w:val="40"/>
          <w:szCs w:val="40"/>
        </w:rPr>
        <w:t>л</w:t>
      </w:r>
      <w:r w:rsidRPr="00497F09">
        <w:rPr>
          <w:rFonts w:ascii="Arbat" w:eastAsia="Arial" w:hAnsi="Arbat" w:cs="Arial"/>
          <w:b/>
          <w:bCs/>
          <w:color w:val="336699"/>
          <w:sz w:val="40"/>
          <w:szCs w:val="40"/>
        </w:rPr>
        <w:t>и</w:t>
      </w:r>
      <w:r w:rsidRPr="00497F09">
        <w:rPr>
          <w:rFonts w:ascii="Arbat" w:eastAsia="Arial" w:hAnsi="Arbat" w:cs="Arial"/>
          <w:b/>
          <w:bCs/>
          <w:color w:val="336699"/>
          <w:spacing w:val="-3"/>
          <w:sz w:val="40"/>
          <w:szCs w:val="40"/>
        </w:rPr>
        <w:t>т</w:t>
      </w:r>
      <w:r w:rsidRPr="00497F09">
        <w:rPr>
          <w:rFonts w:ascii="Arbat" w:eastAsia="Arial" w:hAnsi="Arbat" w:cs="Arial"/>
          <w:b/>
          <w:bCs/>
          <w:color w:val="336699"/>
          <w:spacing w:val="-1"/>
          <w:sz w:val="40"/>
          <w:szCs w:val="40"/>
        </w:rPr>
        <w:t>е</w:t>
      </w:r>
      <w:r w:rsidRPr="00497F09">
        <w:rPr>
          <w:rFonts w:ascii="Arbat" w:eastAsia="Arial" w:hAnsi="Arbat" w:cs="Arial"/>
          <w:b/>
          <w:bCs/>
          <w:color w:val="336699"/>
          <w:spacing w:val="4"/>
          <w:sz w:val="40"/>
          <w:szCs w:val="40"/>
        </w:rPr>
        <w:t>р</w:t>
      </w:r>
      <w:r w:rsidRPr="00497F09">
        <w:rPr>
          <w:rFonts w:ascii="Arbat" w:eastAsia="Arial" w:hAnsi="Arbat" w:cs="Arial"/>
          <w:b/>
          <w:bCs/>
          <w:color w:val="336699"/>
          <w:spacing w:val="-1"/>
          <w:sz w:val="40"/>
          <w:szCs w:val="40"/>
        </w:rPr>
        <w:t>а</w:t>
      </w:r>
      <w:r w:rsidRPr="00497F09">
        <w:rPr>
          <w:rFonts w:ascii="Arbat" w:eastAsia="Arial" w:hAnsi="Arbat" w:cs="Arial"/>
          <w:b/>
          <w:bCs/>
          <w:color w:val="336699"/>
          <w:spacing w:val="9"/>
          <w:sz w:val="40"/>
          <w:szCs w:val="40"/>
        </w:rPr>
        <w:t>т</w:t>
      </w:r>
      <w:r w:rsidRPr="00497F09">
        <w:rPr>
          <w:rFonts w:ascii="Arbat" w:eastAsia="Arial" w:hAnsi="Arbat" w:cs="Arial"/>
          <w:b/>
          <w:bCs/>
          <w:color w:val="336699"/>
          <w:spacing w:val="-4"/>
          <w:sz w:val="40"/>
          <w:szCs w:val="40"/>
        </w:rPr>
        <w:t>у</w:t>
      </w:r>
      <w:r w:rsidRPr="00497F09">
        <w:rPr>
          <w:rFonts w:ascii="Arbat" w:eastAsia="Arial" w:hAnsi="Arbat" w:cs="Arial"/>
          <w:b/>
          <w:bCs/>
          <w:color w:val="336699"/>
          <w:spacing w:val="-1"/>
          <w:sz w:val="40"/>
          <w:szCs w:val="40"/>
        </w:rPr>
        <w:t>р</w:t>
      </w:r>
      <w:r w:rsidRPr="00497F09">
        <w:rPr>
          <w:rFonts w:ascii="Arbat" w:eastAsia="Arial" w:hAnsi="Arbat" w:cs="Arial"/>
          <w:b/>
          <w:bCs/>
          <w:color w:val="336699"/>
          <w:spacing w:val="-3"/>
          <w:sz w:val="40"/>
          <w:szCs w:val="40"/>
        </w:rPr>
        <w:t>ы</w:t>
      </w:r>
      <w:r w:rsidRPr="00497F09">
        <w:rPr>
          <w:rFonts w:ascii="Arbat" w:eastAsia="Arial" w:hAnsi="Arbat" w:cs="Arial"/>
          <w:b/>
          <w:bCs/>
          <w:color w:val="000000"/>
          <w:spacing w:val="-1"/>
          <w:sz w:val="40"/>
          <w:szCs w:val="40"/>
        </w:rPr>
        <w:t>)</w:t>
      </w:r>
    </w:p>
    <w:p w:rsidR="00827690" w:rsidRPr="00497F09" w:rsidRDefault="00827690">
      <w:pPr>
        <w:spacing w:line="240" w:lineRule="exact"/>
        <w:rPr>
          <w:rFonts w:ascii="Arbat" w:eastAsia="Arial" w:hAnsi="Arbat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411F96">
      <w:pPr>
        <w:widowControl w:val="0"/>
        <w:spacing w:line="329" w:lineRule="auto"/>
        <w:ind w:left="4044" w:right="-82" w:firstLine="4027"/>
        <w:rPr>
          <w:rFonts w:ascii="Arial" w:eastAsia="Arial" w:hAnsi="Arial" w:cs="Arial"/>
          <w:b/>
          <w:bCs/>
          <w:color w:val="336699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30"/>
          <w:szCs w:val="30"/>
        </w:rPr>
        <w:t>Вн</w:t>
      </w:r>
      <w:r>
        <w:rPr>
          <w:rFonts w:ascii="Arial" w:eastAsia="Arial" w:hAnsi="Arial" w:cs="Arial"/>
          <w:b/>
          <w:bCs/>
          <w:color w:val="FF0000"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color w:val="FF0000"/>
          <w:sz w:val="30"/>
          <w:szCs w:val="30"/>
        </w:rPr>
        <w:t>ман</w:t>
      </w:r>
      <w:r>
        <w:rPr>
          <w:rFonts w:ascii="Arial" w:eastAsia="Arial" w:hAnsi="Arial" w:cs="Arial"/>
          <w:b/>
          <w:bCs/>
          <w:color w:val="FF0000"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color w:val="FF0000"/>
          <w:sz w:val="30"/>
          <w:szCs w:val="30"/>
        </w:rPr>
        <w:t>е</w:t>
      </w:r>
      <w:r w:rsidR="00497F09">
        <w:rPr>
          <w:rFonts w:ascii="Arial" w:eastAsia="Arial" w:hAnsi="Arial" w:cs="Arial"/>
          <w:b/>
          <w:bCs/>
          <w:color w:val="FF0000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FF000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336699"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ш</w:t>
      </w:r>
      <w:r>
        <w:rPr>
          <w:rFonts w:ascii="Arial" w:eastAsia="Arial" w:hAnsi="Arial" w:cs="Arial"/>
          <w:b/>
          <w:bCs/>
          <w:color w:val="33669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336699"/>
          <w:spacing w:val="7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336699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336699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99"/>
          <w:spacing w:val="-6"/>
          <w:w w:val="10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ел</w:t>
      </w:r>
      <w:r>
        <w:rPr>
          <w:rFonts w:ascii="Arial" w:eastAsia="Arial" w:hAnsi="Arial" w:cs="Arial"/>
          <w:b/>
          <w:bCs/>
          <w:color w:val="336699"/>
          <w:spacing w:val="5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336699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на: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+7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99"/>
          <w:spacing w:val="5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336699"/>
          <w:spacing w:val="-12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336699"/>
          <w:spacing w:val="-4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b/>
          <w:bCs/>
          <w:color w:val="336699"/>
          <w:spacing w:val="5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336699"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-3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4</w:t>
      </w:r>
    </w:p>
    <w:p w:rsidR="00827690" w:rsidRDefault="0082769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827690" w:rsidRDefault="00411F96">
      <w:pPr>
        <w:widowControl w:val="0"/>
        <w:spacing w:line="240" w:lineRule="auto"/>
        <w:ind w:left="4044" w:right="-20"/>
        <w:rPr>
          <w:rFonts w:ascii="Arial" w:eastAsia="Arial" w:hAnsi="Arial" w:cs="Arial"/>
          <w:b/>
          <w:bCs/>
          <w:color w:val="336699"/>
          <w:sz w:val="24"/>
          <w:szCs w:val="24"/>
        </w:rPr>
      </w:pP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336699"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ш</w:t>
      </w:r>
      <w:r>
        <w:rPr>
          <w:rFonts w:ascii="Arial" w:eastAsia="Arial" w:hAnsi="Arial" w:cs="Arial"/>
          <w:b/>
          <w:bCs/>
          <w:color w:val="33669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99"/>
          <w:spacing w:val="4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336699"/>
          <w:spacing w:val="6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336699"/>
          <w:spacing w:val="-6"/>
          <w:w w:val="10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336699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99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ttp:</w:t>
      </w:r>
      <w:r>
        <w:rPr>
          <w:rFonts w:ascii="Arial" w:eastAsia="Arial" w:hAnsi="Arial" w:cs="Arial"/>
          <w:b/>
          <w:bCs/>
          <w:color w:val="336699"/>
          <w:spacing w:val="1"/>
          <w:w w:val="101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336699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36699"/>
          <w:spacing w:val="-1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36699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oz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u</w:t>
      </w:r>
    </w:p>
    <w:p w:rsidR="00827690" w:rsidRDefault="00827690">
      <w:pPr>
        <w:spacing w:after="3" w:line="220" w:lineRule="exact"/>
        <w:rPr>
          <w:rFonts w:ascii="Arial" w:eastAsia="Arial" w:hAnsi="Arial" w:cs="Arial"/>
        </w:rPr>
      </w:pPr>
    </w:p>
    <w:p w:rsidR="00827690" w:rsidRDefault="00411F96">
      <w:pPr>
        <w:widowControl w:val="0"/>
        <w:spacing w:line="240" w:lineRule="auto"/>
        <w:ind w:left="4006" w:right="-20"/>
        <w:rPr>
          <w:rFonts w:ascii="Arial" w:eastAsia="Arial" w:hAnsi="Arial" w:cs="Arial"/>
          <w:b/>
          <w:bCs/>
          <w:color w:val="336699"/>
          <w:sz w:val="24"/>
          <w:szCs w:val="24"/>
        </w:rPr>
      </w:pP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336699"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ш</w:t>
      </w:r>
      <w:r>
        <w:rPr>
          <w:rFonts w:ascii="Arial" w:eastAsia="Arial" w:hAnsi="Arial" w:cs="Arial"/>
          <w:b/>
          <w:bCs/>
          <w:color w:val="336699"/>
          <w:spacing w:val="-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336699"/>
          <w:spacing w:val="4"/>
          <w:sz w:val="24"/>
          <w:szCs w:val="24"/>
        </w:rPr>
        <w:t>е</w:t>
      </w:r>
      <w:proofErr w:type="gramEnd"/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b/>
          <w:bCs/>
          <w:color w:val="336699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b/>
          <w:bCs/>
          <w:color w:val="336699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db</w:t>
      </w:r>
      <w:r>
        <w:rPr>
          <w:rFonts w:ascii="Arial" w:eastAsia="Arial" w:hAnsi="Arial" w:cs="Arial"/>
          <w:b/>
          <w:bCs/>
          <w:color w:val="336699"/>
          <w:spacing w:val="1"/>
          <w:w w:val="10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36699"/>
          <w:spacing w:val="1"/>
          <w:w w:val="10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5@</w:t>
      </w:r>
      <w:r>
        <w:rPr>
          <w:rFonts w:ascii="Arial" w:eastAsia="Arial" w:hAnsi="Arial" w:cs="Arial"/>
          <w:b/>
          <w:bCs/>
          <w:color w:val="336699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99"/>
          <w:spacing w:val="1"/>
          <w:w w:val="101"/>
          <w:sz w:val="24"/>
          <w:szCs w:val="24"/>
        </w:rPr>
        <w:t>l.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u</w:t>
      </w:r>
    </w:p>
    <w:p w:rsidR="00827690" w:rsidRDefault="00827690">
      <w:pPr>
        <w:spacing w:after="3" w:line="220" w:lineRule="exact"/>
        <w:rPr>
          <w:rFonts w:ascii="Arial" w:eastAsia="Arial" w:hAnsi="Arial" w:cs="Arial"/>
        </w:rPr>
      </w:pPr>
    </w:p>
    <w:p w:rsidR="00827690" w:rsidRDefault="00411F96">
      <w:pPr>
        <w:widowControl w:val="0"/>
        <w:spacing w:line="240" w:lineRule="auto"/>
        <w:ind w:left="5403" w:right="-20"/>
        <w:rPr>
          <w:rFonts w:ascii="Arial" w:eastAsia="Arial" w:hAnsi="Arial" w:cs="Arial"/>
          <w:b/>
          <w:bCs/>
          <w:color w:val="336699"/>
          <w:sz w:val="24"/>
          <w:szCs w:val="24"/>
        </w:rPr>
      </w:pPr>
      <w:r>
        <w:rPr>
          <w:rFonts w:ascii="Arial" w:eastAsia="Arial" w:hAnsi="Arial" w:cs="Arial"/>
          <w:b/>
          <w:bCs/>
          <w:color w:val="336699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36699"/>
          <w:spacing w:val="-3"/>
          <w:w w:val="10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br@</w:t>
      </w:r>
      <w:r>
        <w:rPr>
          <w:rFonts w:ascii="Arial" w:eastAsia="Arial" w:hAnsi="Arial" w:cs="Arial"/>
          <w:b/>
          <w:bCs/>
          <w:color w:val="336699"/>
          <w:spacing w:val="1"/>
          <w:w w:val="10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99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36699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336699"/>
          <w:w w:val="10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36699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u</w:t>
      </w: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27690" w:rsidRDefault="00827690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411F96" w:rsidRDefault="00411F96">
      <w:pPr>
        <w:widowControl w:val="0"/>
        <w:spacing w:line="329" w:lineRule="auto"/>
        <w:ind w:left="4476" w:right="4187" w:hanging="268"/>
        <w:rPr>
          <w:rFonts w:ascii="Arial" w:eastAsia="Arial" w:hAnsi="Arial" w:cs="Arial"/>
          <w:b/>
          <w:bCs/>
          <w:color w:val="336699"/>
          <w:sz w:val="24"/>
          <w:szCs w:val="24"/>
        </w:rPr>
      </w:pP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ЛУ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ГА</w:t>
      </w:r>
      <w:r>
        <w:rPr>
          <w:rFonts w:ascii="Arial" w:eastAsia="Arial" w:hAnsi="Arial" w:cs="Arial"/>
          <w:b/>
          <w:bCs/>
          <w:color w:val="336699"/>
          <w:spacing w:val="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336699"/>
          <w:spacing w:val="-4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К</w:t>
      </w:r>
    </w:p>
    <w:p w:rsidR="00827690" w:rsidRDefault="00411F96">
      <w:pPr>
        <w:widowControl w:val="0"/>
        <w:spacing w:line="329" w:lineRule="auto"/>
        <w:ind w:left="4476" w:right="4187" w:hanging="268"/>
        <w:rPr>
          <w:rFonts w:ascii="Arial" w:eastAsia="Arial" w:hAnsi="Arial" w:cs="Arial"/>
          <w:b/>
          <w:bCs/>
          <w:color w:val="336699"/>
          <w:sz w:val="24"/>
          <w:szCs w:val="24"/>
        </w:rPr>
      </w:pPr>
      <w:r>
        <w:rPr>
          <w:rFonts w:ascii="Arial" w:eastAsia="Arial" w:hAnsi="Arial" w:cs="Arial"/>
          <w:b/>
          <w:bCs/>
          <w:color w:val="336699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color w:val="336699"/>
          <w:spacing w:val="1"/>
          <w:sz w:val="24"/>
          <w:szCs w:val="24"/>
        </w:rPr>
        <w:t>02</w:t>
      </w:r>
      <w:r>
        <w:rPr>
          <w:rFonts w:ascii="Arial" w:eastAsia="Arial" w:hAnsi="Arial" w:cs="Arial"/>
          <w:b/>
          <w:bCs/>
          <w:color w:val="336699"/>
          <w:sz w:val="24"/>
          <w:szCs w:val="24"/>
        </w:rPr>
        <w:t>5</w:t>
      </w:r>
      <w:bookmarkEnd w:id="0"/>
    </w:p>
    <w:p w:rsidR="00497F09" w:rsidRDefault="00497F09">
      <w:pPr>
        <w:widowControl w:val="0"/>
        <w:spacing w:line="329" w:lineRule="auto"/>
        <w:ind w:left="4476" w:right="4187" w:hanging="268"/>
        <w:rPr>
          <w:rFonts w:ascii="Arial" w:eastAsia="Arial" w:hAnsi="Arial" w:cs="Arial"/>
          <w:b/>
          <w:bCs/>
          <w:color w:val="336699"/>
          <w:sz w:val="24"/>
          <w:szCs w:val="24"/>
        </w:rPr>
      </w:pP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497F09">
        <w:rPr>
          <w:rFonts w:ascii="Arial" w:eastAsiaTheme="minorEastAsia" w:hAnsi="Arial" w:cs="Arial"/>
          <w:b/>
          <w:sz w:val="24"/>
          <w:szCs w:val="24"/>
        </w:rPr>
        <w:lastRenderedPageBreak/>
        <w:t>Белимумаб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в лечении системной красной волчанки с ювенильным началом: результаты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одноцентрового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ретроспективного исследования / М. И.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Каледа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И. П. Никишина, Т. Н.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Пачкория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// Научно-практическая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62 N 4 ЭБ.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-  С. 385-393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497F09">
        <w:rPr>
          <w:rFonts w:ascii="Arial" w:eastAsiaTheme="minorEastAsia" w:hAnsi="Arial" w:cs="Arial"/>
          <w:b/>
          <w:sz w:val="24"/>
          <w:szCs w:val="24"/>
        </w:rPr>
        <w:t>Влияние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бессимптомной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гиперурикемии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на течение, исходы и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коморбидные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состояния при системной красной волчанке.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Современный взгляд на проблему / М. М.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Мусийчук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И. З.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Гайдукова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О. В.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Инамова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// Медицинское обозрение. Серия РМЖ.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8 N 7 ЭБ</w:t>
      </w:r>
      <w:r w:rsidRPr="00497F09">
        <w:rPr>
          <w:rFonts w:ascii="Arial" w:eastAsiaTheme="minorEastAsia" w:hAnsi="Arial" w:cs="Arial"/>
          <w:sz w:val="24"/>
          <w:szCs w:val="24"/>
        </w:rPr>
        <w:t>. -  С. 391-399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Выживаемость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и структура летальных исходов в оренбургской популяции пациентов с системной красной волчанкой / Н. В. Лазарева, О. В. Бугрова, Н. Э. Артемова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3 ЭБ.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-  С. 44-51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Выявление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закономерностей влияния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микробиоты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на патогенетические механизмы развития системной красной волчанки / А. А.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Шайхутдинова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Д. А.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Бурбеза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С. И. Стрельченко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3 ЭБ</w:t>
      </w:r>
      <w:r w:rsidRPr="00497F09">
        <w:rPr>
          <w:rFonts w:ascii="Arial" w:eastAsiaTheme="minorEastAsia" w:hAnsi="Arial" w:cs="Arial"/>
          <w:sz w:val="24"/>
          <w:szCs w:val="24"/>
        </w:rPr>
        <w:t>. -  С. 92-98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497F09">
        <w:rPr>
          <w:rFonts w:ascii="Arial" w:eastAsiaTheme="minorEastAsia" w:hAnsi="Arial" w:cs="Arial"/>
          <w:b/>
          <w:sz w:val="24"/>
          <w:szCs w:val="24"/>
        </w:rPr>
        <w:t>Иммунофенотипы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системной красной волчанки - особенности клинических и лабораторных нарушений / А. С. Авдеева, А. П. Алексанкин, Е. В.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Четина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// Научн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>о-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практическая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62 N 4 ЭБ.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-  С. 394-401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 xml:space="preserve">Индекс </w:t>
      </w:r>
      <w:r w:rsidRPr="00497F09">
        <w:rPr>
          <w:rFonts w:ascii="Arial" w:eastAsiaTheme="minorEastAsia" w:hAnsi="Arial" w:cs="Arial"/>
          <w:sz w:val="24"/>
          <w:szCs w:val="24"/>
        </w:rPr>
        <w:t xml:space="preserve">токсичности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глюкокортикоидов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у пациентов с системной красной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волча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>н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>-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кой: Предварительные данные / Е. В. Ермолаева, Е. А. Асеева, Н. Ю. Никишина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1 ЭБ</w:t>
      </w:r>
      <w:r w:rsidRPr="00497F09">
        <w:rPr>
          <w:rFonts w:ascii="Arial" w:eastAsiaTheme="minorEastAsia" w:hAnsi="Arial" w:cs="Arial"/>
          <w:sz w:val="24"/>
          <w:szCs w:val="24"/>
        </w:rPr>
        <w:t>. -  С. 28-34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 xml:space="preserve">Индексы </w:t>
      </w:r>
      <w:r w:rsidRPr="00497F09">
        <w:rPr>
          <w:rFonts w:ascii="Arial" w:eastAsiaTheme="minorEastAsia" w:hAnsi="Arial" w:cs="Arial"/>
          <w:sz w:val="24"/>
          <w:szCs w:val="24"/>
        </w:rPr>
        <w:t xml:space="preserve">активности поражения и повреждения кожи у пациентов с системной красной волчанкой - CLASI и R-CLASI / А. А. Шумилова, Ф. А.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Чельдиева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К. С. Нурбаева // Научно-практическая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62 N 2 ЭБ</w:t>
      </w:r>
      <w:r w:rsidRPr="00497F09">
        <w:rPr>
          <w:rFonts w:ascii="Arial" w:eastAsiaTheme="minorEastAsia" w:hAnsi="Arial" w:cs="Arial"/>
          <w:sz w:val="24"/>
          <w:szCs w:val="24"/>
        </w:rPr>
        <w:t>. -  С. 203-215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497F09">
        <w:rPr>
          <w:rFonts w:ascii="Arial" w:eastAsiaTheme="minorEastAsia" w:hAnsi="Arial" w:cs="Arial"/>
          <w:b/>
          <w:sz w:val="24"/>
          <w:szCs w:val="24"/>
        </w:rPr>
        <w:t>Каледа</w:t>
      </w:r>
      <w:proofErr w:type="spellEnd"/>
      <w:r w:rsidRPr="00497F09">
        <w:rPr>
          <w:rFonts w:ascii="Arial" w:eastAsiaTheme="minorEastAsia" w:hAnsi="Arial" w:cs="Arial"/>
          <w:b/>
          <w:sz w:val="24"/>
          <w:szCs w:val="24"/>
        </w:rPr>
        <w:t xml:space="preserve"> М.И</w:t>
      </w:r>
      <w:r w:rsidRPr="00497F09">
        <w:rPr>
          <w:rFonts w:ascii="Arial" w:eastAsiaTheme="minorEastAsia" w:hAnsi="Arial" w:cs="Arial"/>
          <w:sz w:val="24"/>
          <w:szCs w:val="24"/>
        </w:rPr>
        <w:t>. Системная красная волчанка с ювенильным началом: современное состояние проблемы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Обзор литературы / М. И.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Каледа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И. П. Никишина //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Совр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>е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>-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менная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2 ЭБ</w:t>
      </w:r>
      <w:r w:rsidRPr="00497F09">
        <w:rPr>
          <w:rFonts w:ascii="Arial" w:eastAsiaTheme="minorEastAsia" w:hAnsi="Arial" w:cs="Arial"/>
          <w:sz w:val="24"/>
          <w:szCs w:val="24"/>
        </w:rPr>
        <w:t>. -  С. 95-102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497F09">
        <w:rPr>
          <w:rFonts w:ascii="Arial" w:eastAsiaTheme="minorEastAsia" w:hAnsi="Arial" w:cs="Arial"/>
          <w:b/>
          <w:sz w:val="24"/>
          <w:szCs w:val="24"/>
        </w:rPr>
        <w:t>Каледа</w:t>
      </w:r>
      <w:proofErr w:type="spellEnd"/>
      <w:r w:rsidRPr="00497F09">
        <w:rPr>
          <w:rFonts w:ascii="Arial" w:eastAsiaTheme="minorEastAsia" w:hAnsi="Arial" w:cs="Arial"/>
          <w:b/>
          <w:sz w:val="24"/>
          <w:szCs w:val="24"/>
        </w:rPr>
        <w:t xml:space="preserve"> М.И.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Современные возможности лечения системной красной волчанки у детей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Обзор литературы / М. И.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Каледа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И. П. Никишина // Современная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ревм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>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>-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тология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4 ЭБ.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-  С. 99-105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Клинический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случай изолированной тромбоцитопении в дебюте системной красной волчанки / Э. Р.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Сагитова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Г. Б. Кучма, Л. К. Козлова // Практическая медицина.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22 N 3 ЭБ</w:t>
      </w:r>
      <w:r w:rsidRPr="00497F09">
        <w:rPr>
          <w:rFonts w:ascii="Arial" w:eastAsiaTheme="minorEastAsia" w:hAnsi="Arial" w:cs="Arial"/>
          <w:sz w:val="24"/>
          <w:szCs w:val="24"/>
        </w:rPr>
        <w:t>. -  С. 116-119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497F09">
        <w:rPr>
          <w:rFonts w:ascii="Arial" w:eastAsiaTheme="minorEastAsia" w:hAnsi="Arial" w:cs="Arial"/>
          <w:b/>
          <w:sz w:val="24"/>
          <w:szCs w:val="24"/>
        </w:rPr>
        <w:t>Меснянкина</w:t>
      </w:r>
      <w:proofErr w:type="spellEnd"/>
      <w:r w:rsidRPr="00497F09">
        <w:rPr>
          <w:rFonts w:ascii="Arial" w:eastAsiaTheme="minorEastAsia" w:hAnsi="Arial" w:cs="Arial"/>
          <w:b/>
          <w:sz w:val="24"/>
          <w:szCs w:val="24"/>
        </w:rPr>
        <w:t xml:space="preserve"> А.А.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Длительная терапия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белимумабом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у пациентов с системной красной волчанкой / А. А.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Меснянкина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Е. А. Асеева, Н. Ю. Никишина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4 ЭБ</w:t>
      </w:r>
      <w:r w:rsidRPr="00497F09">
        <w:rPr>
          <w:rFonts w:ascii="Arial" w:eastAsiaTheme="minorEastAsia" w:hAnsi="Arial" w:cs="Arial"/>
          <w:sz w:val="24"/>
          <w:szCs w:val="24"/>
        </w:rPr>
        <w:t>. -  С. 93-98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Многофункциональный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белок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нуклеобиндин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1 как маркер поражения сосудов при системной красной волчанке / А. О. Михайлина, О. С. Костарева, Е. А. Асеева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4 ЭБ.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-  С. 74-79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Первый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клинический опыт применения селективной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плазмосорбции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ДНК с использованием сорбционной колонки «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НуклеоКор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®» при лечении системной красной волчанки / Е. А. Асеева, Н. С. Покровский, С. К. Соловьев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2 ЭБ.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-  С. 75-80</w:t>
      </w:r>
    </w:p>
    <w:p w:rsidR="00497F09" w:rsidRPr="00497F09" w:rsidRDefault="00497F09" w:rsidP="00497F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Попкова Т.В.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Генно-инженерные биологические препараты в лечении системной красной волчанки / Т. В. Попкова, Т. А. Панафидина // Эффективная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фармакотер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>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>-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пия.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20 N 32 ЭБ.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-  С. 22-29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Системная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красная волчанка и опоясывающий герпес (описание клинических наблюдений) / А. А. Шумилова [и др.] // Научно-практическая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62 N 5 ЭБ</w:t>
      </w:r>
      <w:r w:rsidRPr="00497F09">
        <w:rPr>
          <w:rFonts w:ascii="Arial" w:eastAsiaTheme="minorEastAsia" w:hAnsi="Arial" w:cs="Arial"/>
          <w:sz w:val="24"/>
          <w:szCs w:val="24"/>
        </w:rPr>
        <w:t>. -  С. 564-568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Субклиническая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 дисфункция миокарда левого желудочка у больных системной красной волчанкой / Р. А.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Каратеев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[и др.] // Научно-практическая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62 N 6 ЭБ</w:t>
      </w:r>
      <w:r w:rsidRPr="00497F09">
        <w:rPr>
          <w:rFonts w:ascii="Arial" w:eastAsiaTheme="minorEastAsia" w:hAnsi="Arial" w:cs="Arial"/>
          <w:sz w:val="24"/>
          <w:szCs w:val="24"/>
        </w:rPr>
        <w:t>. -  С. 646-652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497F09">
        <w:rPr>
          <w:rFonts w:ascii="Arial" w:eastAsiaTheme="minorEastAsia" w:hAnsi="Arial" w:cs="Arial"/>
          <w:b/>
          <w:sz w:val="24"/>
          <w:szCs w:val="24"/>
        </w:rPr>
        <w:t>Фармакоэкономический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анализ терапии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ритуксимабом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и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белимумабом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больных системной красной волчанкой / Д. А. Герасимова, В. А. Гонтаренко, Е. В.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Герас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>и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>-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мова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5 ЭБ</w:t>
      </w:r>
      <w:r w:rsidRPr="00497F09">
        <w:rPr>
          <w:rFonts w:ascii="Arial" w:eastAsiaTheme="minorEastAsia" w:hAnsi="Arial" w:cs="Arial"/>
          <w:sz w:val="24"/>
          <w:szCs w:val="24"/>
        </w:rPr>
        <w:t>. -  С. 31-37</w:t>
      </w:r>
    </w:p>
    <w:p w:rsidR="00497F09" w:rsidRP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Эндокардит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Либмана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-Сакса: регресс после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иммуносупрессивной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терапии у пациентки с системной красной волчанкой / В. А. Пугач, Н. М. Буланов, Т. П. Шевцова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2 ЭБ</w:t>
      </w:r>
      <w:r w:rsidRPr="00497F09">
        <w:rPr>
          <w:rFonts w:ascii="Arial" w:eastAsiaTheme="minorEastAsia" w:hAnsi="Arial" w:cs="Arial"/>
          <w:sz w:val="24"/>
          <w:szCs w:val="24"/>
        </w:rPr>
        <w:t>. -  С. 70-74</w:t>
      </w:r>
    </w:p>
    <w:p w:rsidR="00497F09" w:rsidRDefault="00497F09" w:rsidP="00497F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97F09">
        <w:rPr>
          <w:rFonts w:ascii="Arial" w:eastAsiaTheme="minorEastAsia" w:hAnsi="Arial" w:cs="Arial"/>
          <w:b/>
          <w:sz w:val="24"/>
          <w:szCs w:val="24"/>
        </w:rPr>
        <w:t>Эффективность</w:t>
      </w:r>
      <w:r w:rsidRPr="00497F09">
        <w:rPr>
          <w:rFonts w:ascii="Arial" w:eastAsiaTheme="minorEastAsia" w:hAnsi="Arial" w:cs="Arial"/>
          <w:sz w:val="24"/>
          <w:szCs w:val="24"/>
        </w:rPr>
        <w:t xml:space="preserve"> и безопасность </w:t>
      </w:r>
      <w:proofErr w:type="gramStart"/>
      <w:r w:rsidRPr="00497F09">
        <w:rPr>
          <w:rFonts w:ascii="Arial" w:eastAsiaTheme="minorEastAsia" w:hAnsi="Arial" w:cs="Arial"/>
          <w:sz w:val="24"/>
          <w:szCs w:val="24"/>
        </w:rPr>
        <w:t>применения ингибитора рецепторов интерферона типа</w:t>
      </w:r>
      <w:proofErr w:type="gramEnd"/>
      <w:r w:rsidRPr="00497F09">
        <w:rPr>
          <w:rFonts w:ascii="Arial" w:eastAsiaTheme="minorEastAsia" w:hAnsi="Arial" w:cs="Arial"/>
          <w:sz w:val="24"/>
          <w:szCs w:val="24"/>
        </w:rPr>
        <w:t xml:space="preserve"> I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анифролумаба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 у пациентов с системной красной волчанкой: Результаты 6-месячного исследования / Т. М. </w:t>
      </w:r>
      <w:proofErr w:type="spellStart"/>
      <w:r w:rsidRPr="00497F09">
        <w:rPr>
          <w:rFonts w:ascii="Arial" w:eastAsiaTheme="minorEastAsia" w:hAnsi="Arial" w:cs="Arial"/>
          <w:sz w:val="24"/>
          <w:szCs w:val="24"/>
        </w:rPr>
        <w:t>Решетняк</w:t>
      </w:r>
      <w:proofErr w:type="spellEnd"/>
      <w:r w:rsidRPr="00497F09">
        <w:rPr>
          <w:rFonts w:ascii="Arial" w:eastAsiaTheme="minorEastAsia" w:hAnsi="Arial" w:cs="Arial"/>
          <w:sz w:val="24"/>
          <w:szCs w:val="24"/>
        </w:rPr>
        <w:t xml:space="preserve">, Е. А. Асеева, А. А. Шумилова // Современная ревматология. - 2024. - </w:t>
      </w:r>
      <w:r w:rsidRPr="00497F09">
        <w:rPr>
          <w:rFonts w:ascii="Arial" w:eastAsiaTheme="minorEastAsia" w:hAnsi="Arial" w:cs="Arial"/>
          <w:b/>
          <w:sz w:val="24"/>
          <w:szCs w:val="24"/>
        </w:rPr>
        <w:t>Том 18 N 2 ЭБ</w:t>
      </w:r>
      <w:r w:rsidRPr="00497F09">
        <w:rPr>
          <w:rFonts w:ascii="Arial" w:eastAsiaTheme="minorEastAsia" w:hAnsi="Arial" w:cs="Arial"/>
          <w:sz w:val="24"/>
          <w:szCs w:val="24"/>
        </w:rPr>
        <w:t>. -  С. 16-24</w:t>
      </w: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Pr="00C81338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C81338">
        <w:rPr>
          <w:rFonts w:ascii="Arial CYR" w:eastAsiaTheme="minorEastAsia" w:hAnsi="Arial CYR" w:cs="Arial CYR"/>
          <w:sz w:val="24"/>
          <w:szCs w:val="24"/>
        </w:rPr>
        <w:t>Составитель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>
        <w:rPr>
          <w:rFonts w:ascii="Arial CYR" w:eastAsiaTheme="minorEastAsia" w:hAnsi="Arial CYR" w:cs="Arial CYR"/>
          <w:sz w:val="24"/>
          <w:szCs w:val="24"/>
        </w:rPr>
        <w:tab/>
      </w:r>
      <w:r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>Е. П. Балыкина</w:t>
      </w:r>
    </w:p>
    <w:p w:rsidR="00497F09" w:rsidRPr="00C81338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497F09" w:rsidRPr="00C81338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C81338">
        <w:rPr>
          <w:rFonts w:ascii="Arial CYR" w:eastAsiaTheme="minorEastAsia" w:hAnsi="Arial CYR" w:cs="Arial CYR"/>
          <w:sz w:val="24"/>
          <w:szCs w:val="24"/>
        </w:rPr>
        <w:t>Ответственный за выпуск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 xml:space="preserve"> 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>В. С. Облог</w:t>
      </w:r>
    </w:p>
    <w:p w:rsidR="00497F09" w:rsidRPr="00C81338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497F09" w:rsidRPr="0085261B" w:rsidRDefault="00497F09" w:rsidP="00411F96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C81338">
        <w:rPr>
          <w:rFonts w:ascii="Arial CYR" w:eastAsiaTheme="minorEastAsia" w:hAnsi="Arial CYR" w:cs="Arial CYR"/>
          <w:sz w:val="24"/>
          <w:szCs w:val="24"/>
        </w:rPr>
        <w:t xml:space="preserve">ЛРМБ 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>тел. +7 857 2 63-03-34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 xml:space="preserve">   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>30 экз.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>
        <w:rPr>
          <w:rFonts w:ascii="Arial CYR" w:eastAsiaTheme="minorEastAsia" w:hAnsi="Arial CYR" w:cs="Arial CYR"/>
          <w:sz w:val="24"/>
          <w:szCs w:val="24"/>
        </w:rPr>
        <w:tab/>
      </w:r>
      <w:r>
        <w:rPr>
          <w:rFonts w:ascii="Arial CYR" w:eastAsiaTheme="minorEastAsia" w:hAnsi="Arial CYR" w:cs="Arial CYR"/>
          <w:sz w:val="24"/>
          <w:szCs w:val="24"/>
        </w:rPr>
        <w:t xml:space="preserve">май   </w:t>
      </w:r>
      <w:r w:rsidRPr="00C81338">
        <w:rPr>
          <w:rFonts w:ascii="Arial CYR" w:eastAsiaTheme="minorEastAsia" w:hAnsi="Arial CYR" w:cs="Arial CYR"/>
          <w:sz w:val="24"/>
          <w:szCs w:val="24"/>
        </w:rPr>
        <w:t xml:space="preserve"> 2025</w:t>
      </w: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Pr="00497F09" w:rsidRDefault="00497F09" w:rsidP="00497F0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7F09" w:rsidRPr="00497F09" w:rsidRDefault="00497F09" w:rsidP="00497F09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497F09" w:rsidRPr="00497F09" w:rsidRDefault="00497F09" w:rsidP="00497F09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497F09" w:rsidRPr="00497F09" w:rsidRDefault="00497F09" w:rsidP="00497F09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497F09" w:rsidRDefault="00497F09">
      <w:pPr>
        <w:widowControl w:val="0"/>
        <w:spacing w:line="329" w:lineRule="auto"/>
        <w:ind w:left="4476" w:right="4187" w:hanging="268"/>
        <w:rPr>
          <w:rFonts w:ascii="Arial" w:eastAsia="Arial" w:hAnsi="Arial" w:cs="Arial"/>
          <w:b/>
          <w:bCs/>
          <w:color w:val="336699"/>
          <w:sz w:val="24"/>
          <w:szCs w:val="24"/>
        </w:rPr>
      </w:pPr>
    </w:p>
    <w:sectPr w:rsidR="00497F09" w:rsidSect="00497F09">
      <w:type w:val="continuous"/>
      <w:pgSz w:w="11905" w:h="16837"/>
      <w:pgMar w:top="1134" w:right="621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9BF"/>
    <w:multiLevelType w:val="hybridMultilevel"/>
    <w:tmpl w:val="482E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7690"/>
    <w:rsid w:val="00411F96"/>
    <w:rsid w:val="00497F09"/>
    <w:rsid w:val="008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2025-05-07T07:16:00Z</dcterms:created>
  <dcterms:modified xsi:type="dcterms:W3CDTF">2025-05-07T07:19:00Z</dcterms:modified>
</cp:coreProperties>
</file>